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4AA2" w:rsidRPr="00CD63C8" w:rsidRDefault="00F34AA2" w:rsidP="00F34AA2">
      <w:pPr>
        <w:keepLines/>
        <w:tabs>
          <w:tab w:val="right" w:pos="10440"/>
          <w:tab w:val="right" w:pos="13323"/>
        </w:tabs>
        <w:autoSpaceDE/>
        <w:autoSpaceDN/>
        <w:adjustRightInd/>
        <w:spacing w:after="0"/>
        <w:rPr>
          <w:rFonts w:ascii="Arial" w:hAnsi="Arial" w:cs="Arial"/>
          <w:b/>
          <w:sz w:val="24"/>
          <w:szCs w:val="24"/>
        </w:rPr>
      </w:pPr>
      <w:r w:rsidRPr="00CD63C8">
        <w:rPr>
          <w:rFonts w:ascii="Arial" w:eastAsia="MS Mincho" w:hAnsi="Arial" w:cs="Arial"/>
          <w:b/>
          <w:sz w:val="24"/>
          <w:szCs w:val="24"/>
        </w:rPr>
        <w:t>3GPP TSG-RAN WG4 Meeting #</w:t>
      </w:r>
      <w:r w:rsidRPr="00CD63C8">
        <w:rPr>
          <w:rFonts w:eastAsia="MS Mincho"/>
        </w:rPr>
        <w:t xml:space="preserve"> </w:t>
      </w:r>
      <w:r w:rsidR="00867B03">
        <w:rPr>
          <w:rFonts w:ascii="Arial" w:eastAsia="MS Mincho" w:hAnsi="Arial" w:cs="Arial"/>
          <w:b/>
          <w:sz w:val="24"/>
          <w:szCs w:val="24"/>
        </w:rPr>
        <w:t>101</w:t>
      </w:r>
      <w:r w:rsidRPr="00CD63C8">
        <w:rPr>
          <w:rFonts w:ascii="Arial" w:eastAsia="MS Mincho" w:hAnsi="Arial" w:cs="Arial"/>
          <w:b/>
          <w:sz w:val="24"/>
          <w:szCs w:val="24"/>
        </w:rPr>
        <w:t>-</w:t>
      </w:r>
      <w:r w:rsidR="00867B03">
        <w:rPr>
          <w:rFonts w:ascii="Arial" w:eastAsia="MS Mincho" w:hAnsi="Arial" w:cs="Arial"/>
          <w:b/>
          <w:sz w:val="24"/>
          <w:szCs w:val="24"/>
        </w:rPr>
        <w:t>bis-</w:t>
      </w:r>
      <w:r w:rsidRPr="00CD63C8">
        <w:rPr>
          <w:rFonts w:ascii="Arial" w:eastAsia="MS Mincho" w:hAnsi="Arial" w:cs="Arial"/>
          <w:b/>
          <w:sz w:val="24"/>
          <w:szCs w:val="24"/>
        </w:rPr>
        <w:t>e</w:t>
      </w:r>
      <w:r w:rsidRPr="00CD63C8">
        <w:rPr>
          <w:rFonts w:ascii="Arial" w:eastAsia="MS Mincho" w:hAnsi="Arial" w:cs="Arial"/>
          <w:b/>
          <w:sz w:val="24"/>
          <w:szCs w:val="24"/>
        </w:rPr>
        <w:tab/>
      </w:r>
      <w:r w:rsidR="009D0599" w:rsidRPr="009D0599">
        <w:rPr>
          <w:rFonts w:ascii="Arial" w:eastAsia="MS Mincho" w:hAnsi="Arial" w:cs="Arial"/>
          <w:b/>
          <w:sz w:val="24"/>
          <w:szCs w:val="24"/>
        </w:rPr>
        <w:t>R4-2201509</w:t>
      </w:r>
      <w:bookmarkStart w:id="0" w:name="_GoBack"/>
      <w:bookmarkEnd w:id="0"/>
    </w:p>
    <w:p w:rsidR="00F34AA2" w:rsidRPr="00CD63C8" w:rsidRDefault="00F34AA2" w:rsidP="00F34AA2">
      <w:pPr>
        <w:tabs>
          <w:tab w:val="right" w:pos="9781"/>
          <w:tab w:val="right" w:pos="13323"/>
        </w:tabs>
        <w:autoSpaceDE/>
        <w:autoSpaceDN/>
        <w:adjustRightInd/>
        <w:spacing w:after="0"/>
        <w:outlineLvl w:val="0"/>
        <w:rPr>
          <w:rFonts w:ascii="Arial" w:hAnsi="Arial"/>
          <w:b/>
          <w:sz w:val="24"/>
          <w:szCs w:val="24"/>
        </w:rPr>
      </w:pPr>
      <w:r w:rsidRPr="00CD63C8">
        <w:rPr>
          <w:rFonts w:ascii="Arial" w:hAnsi="Arial"/>
          <w:b/>
          <w:sz w:val="24"/>
          <w:szCs w:val="24"/>
        </w:rPr>
        <w:t xml:space="preserve">Electronic Meeting, </w:t>
      </w:r>
      <w:r w:rsidR="00183EBE" w:rsidRPr="00183EBE">
        <w:rPr>
          <w:rFonts w:ascii="Arial" w:hAnsi="Arial"/>
          <w:b/>
          <w:sz w:val="24"/>
          <w:szCs w:val="24"/>
        </w:rPr>
        <w:t>January 17-25, 2022</w:t>
      </w:r>
    </w:p>
    <w:p w:rsidR="00237FCA" w:rsidRPr="009D3032" w:rsidRDefault="00237FCA" w:rsidP="00563F22">
      <w:pPr>
        <w:ind w:left="1985" w:hanging="1985"/>
        <w:rPr>
          <w:rFonts w:ascii="Arial" w:hAnsi="Arial"/>
          <w:b/>
          <w:noProof/>
          <w:sz w:val="24"/>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F34AA2">
        <w:rPr>
          <w:rFonts w:ascii="Arial" w:hAnsi="Arial" w:cs="Arial"/>
        </w:rPr>
        <w:t>Huawei, HiSilicon</w:t>
      </w:r>
    </w:p>
    <w:p w:rsidR="00563F22" w:rsidRPr="005C2410" w:rsidRDefault="00563F22" w:rsidP="00563F22">
      <w:pPr>
        <w:ind w:left="1985" w:hanging="1985"/>
        <w:rPr>
          <w:rFonts w:ascii="Arial" w:hAnsi="Arial" w:cs="Arial"/>
          <w:b/>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183EBE">
        <w:rPr>
          <w:rFonts w:ascii="Arial" w:hAnsi="Arial" w:cs="Arial"/>
        </w:rPr>
        <w:t>O</w:t>
      </w:r>
      <w:r w:rsidR="00884196">
        <w:rPr>
          <w:rFonts w:ascii="Arial" w:hAnsi="Arial" w:cs="Arial"/>
        </w:rPr>
        <w:t>n the applicability of wider</w:t>
      </w:r>
      <w:r w:rsidR="00F34AA2" w:rsidRPr="00F34AA2">
        <w:rPr>
          <w:rFonts w:ascii="Arial" w:hAnsi="Arial" w:cs="Arial"/>
        </w:rPr>
        <w:t xml:space="preserve"> channel bandwidth</w:t>
      </w:r>
    </w:p>
    <w:p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884196">
        <w:rPr>
          <w:rFonts w:ascii="Arial" w:hAnsi="Arial" w:cs="Arial"/>
        </w:rPr>
        <w:t>7</w:t>
      </w:r>
      <w:r w:rsidR="00490DF4" w:rsidRPr="00F34AA2">
        <w:rPr>
          <w:rFonts w:ascii="Arial" w:hAnsi="Arial" w:cs="Arial"/>
        </w:rPr>
        <w:t>.2.2</w:t>
      </w:r>
    </w:p>
    <w:p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884196">
        <w:rPr>
          <w:rFonts w:ascii="Arial" w:hAnsi="Arial" w:cs="Arial"/>
        </w:rPr>
        <w:t>Approval</w:t>
      </w:r>
    </w:p>
    <w:p w:rsidR="00563F22" w:rsidRDefault="00946331" w:rsidP="00563F22">
      <w:pPr>
        <w:pStyle w:val="1"/>
        <w:tabs>
          <w:tab w:val="num" w:pos="397"/>
        </w:tabs>
        <w:ind w:left="533" w:hanging="533"/>
      </w:pPr>
      <w:r>
        <w:t xml:space="preserve">1 </w:t>
      </w:r>
      <w:r w:rsidR="00563F22">
        <w:rPr>
          <w:rFonts w:hint="eastAsia"/>
        </w:rPr>
        <w:t>Introduction</w:t>
      </w:r>
    </w:p>
    <w:p w:rsidR="00462611" w:rsidRDefault="00884196" w:rsidP="005D46E8">
      <w:pPr>
        <w:spacing w:before="120"/>
      </w:pPr>
      <w:r>
        <w:t>A</w:t>
      </w:r>
      <w:r w:rsidR="00462611">
        <w:t xml:space="preserve"> new SI has been approved on efficient utilization of licensed spectrum that is not aligned with existing NR channel bandwidths</w:t>
      </w:r>
      <w:r>
        <w:t xml:space="preserve"> [1]</w:t>
      </w:r>
      <w:r w:rsidR="00462611">
        <w:t>.</w:t>
      </w:r>
      <w:r w:rsidR="00DB37D4">
        <w:t xml:space="preserve"> One of the objective is to </w:t>
      </w:r>
      <w:r w:rsidR="009D3032">
        <w:t>evaluate</w:t>
      </w:r>
      <w:r w:rsidR="00DB37D4">
        <w:t xml:space="preserve"> the use of </w:t>
      </w:r>
      <w:r w:rsidR="009D3032">
        <w:t>larger</w:t>
      </w:r>
      <w:r w:rsidR="00DB37D4">
        <w:t xml:space="preserve"> channel bandwidths.</w:t>
      </w:r>
    </w:p>
    <w:p w:rsidR="009D3032" w:rsidRPr="00284B2F" w:rsidRDefault="009D3032" w:rsidP="009D3032">
      <w:pPr>
        <w:pStyle w:val="af0"/>
        <w:numPr>
          <w:ilvl w:val="0"/>
          <w:numId w:val="7"/>
        </w:numPr>
        <w:ind w:firstLine="400"/>
        <w:rPr>
          <w:lang w:eastAsia="ko-KR"/>
        </w:rPr>
      </w:pP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rsidR="00DB688D" w:rsidRPr="00DB688D" w:rsidRDefault="00DB688D" w:rsidP="005D46E8">
      <w:pPr>
        <w:spacing w:before="120"/>
      </w:pPr>
      <w:r>
        <w:t>In the contribution, we provid</w:t>
      </w:r>
      <w:r w:rsidR="00DB37D4">
        <w:t xml:space="preserve">e discussion </w:t>
      </w:r>
      <w:r w:rsidR="00884196">
        <w:t xml:space="preserve">and text proposal </w:t>
      </w:r>
      <w:r w:rsidR="00DB37D4">
        <w:t>on this alternative.</w:t>
      </w:r>
    </w:p>
    <w:p w:rsidR="00DB37D4" w:rsidRDefault="00946331" w:rsidP="00DB37D4">
      <w:pPr>
        <w:pStyle w:val="1"/>
        <w:tabs>
          <w:tab w:val="num" w:pos="397"/>
        </w:tabs>
        <w:ind w:left="533" w:hanging="533"/>
      </w:pPr>
      <w:r>
        <w:t xml:space="preserve">2 </w:t>
      </w:r>
      <w:r w:rsidR="00E407EA">
        <w:t>Discussion</w:t>
      </w:r>
    </w:p>
    <w:p w:rsidR="00814E03" w:rsidRDefault="00D44812" w:rsidP="003D4A9C">
      <w:r>
        <w:t xml:space="preserve">Per way forward on </w:t>
      </w:r>
      <w:r w:rsidR="002E42D9">
        <w:t>use of larger CBW agreed in previous</w:t>
      </w:r>
      <w:r>
        <w:t xml:space="preserve"> meeting [2],</w:t>
      </w:r>
      <w:r w:rsidR="00884196">
        <w:t xml:space="preserve"> one of the topic is the applicability:</w:t>
      </w:r>
    </w:p>
    <w:p w:rsidR="00884196" w:rsidRPr="00443112" w:rsidRDefault="00884196" w:rsidP="00884196">
      <w:pPr>
        <w:rPr>
          <w:rFonts w:eastAsia="等线"/>
          <w:iCs/>
          <w:highlight w:val="green"/>
          <w:lang w:val="en-US"/>
        </w:rPr>
      </w:pPr>
      <w:r w:rsidRPr="00443112">
        <w:rPr>
          <w:rFonts w:eastAsia="等线" w:hint="eastAsia"/>
          <w:iCs/>
          <w:highlight w:val="green"/>
          <w:lang w:val="en-US"/>
        </w:rPr>
        <w:t>A</w:t>
      </w:r>
      <w:r w:rsidRPr="00443112">
        <w:rPr>
          <w:rFonts w:eastAsia="等线"/>
          <w:iCs/>
          <w:highlight w:val="green"/>
          <w:lang w:val="en-US"/>
        </w:rPr>
        <w:t>greement:</w:t>
      </w:r>
    </w:p>
    <w:p w:rsidR="00884196" w:rsidRPr="00443112" w:rsidRDefault="00884196" w:rsidP="00884196">
      <w:pPr>
        <w:rPr>
          <w:rFonts w:eastAsiaTheme="minorEastAsia"/>
          <w:iCs/>
          <w:highlight w:val="green"/>
          <w:lang w:val="en-US"/>
        </w:rPr>
      </w:pPr>
      <w:r w:rsidRPr="00443112">
        <w:rPr>
          <w:rFonts w:eastAsiaTheme="minorEastAsia"/>
          <w:iCs/>
          <w:highlight w:val="green"/>
          <w:lang w:val="en-US"/>
        </w:rPr>
        <w:t xml:space="preserve">Based upon analysis </w:t>
      </w:r>
      <w:r w:rsidRPr="00443112">
        <w:rPr>
          <w:rFonts w:eastAsiaTheme="minorEastAsia"/>
          <w:iCs/>
          <w:highlight w:val="green"/>
          <w:lang w:val="en-US"/>
        </w:rPr>
        <w:fldChar w:fldCharType="begin"/>
      </w:r>
      <w:r w:rsidRPr="00443112">
        <w:rPr>
          <w:rFonts w:eastAsiaTheme="minorEastAsia"/>
          <w:iCs/>
          <w:highlight w:val="green"/>
          <w:lang w:val="en-US"/>
        </w:rPr>
        <w:instrText xml:space="preserve"> REF _Ref87264524 \r \h </w:instrText>
      </w:r>
      <w:r>
        <w:rPr>
          <w:rFonts w:eastAsiaTheme="minorEastAsia"/>
          <w:iCs/>
          <w:highlight w:val="green"/>
          <w:lang w:val="en-US"/>
        </w:rPr>
        <w:instrText xml:space="preserve"> \* MERGEFORMAT </w:instrText>
      </w:r>
      <w:r w:rsidRPr="00443112">
        <w:rPr>
          <w:rFonts w:eastAsiaTheme="minorEastAsia"/>
          <w:iCs/>
          <w:highlight w:val="green"/>
          <w:lang w:val="en-US"/>
        </w:rPr>
      </w:r>
      <w:r w:rsidRPr="00443112">
        <w:rPr>
          <w:rFonts w:eastAsiaTheme="minorEastAsia"/>
          <w:iCs/>
          <w:highlight w:val="green"/>
          <w:lang w:val="en-US"/>
        </w:rPr>
        <w:fldChar w:fldCharType="separate"/>
      </w:r>
      <w:r w:rsidRPr="00443112">
        <w:rPr>
          <w:rFonts w:eastAsiaTheme="minorEastAsia"/>
          <w:iCs/>
          <w:highlight w:val="green"/>
          <w:lang w:val="en-US"/>
        </w:rPr>
        <w:t>[1]</w:t>
      </w:r>
      <w:r w:rsidRPr="00443112">
        <w:rPr>
          <w:rFonts w:eastAsiaTheme="minorEastAsia"/>
          <w:iCs/>
          <w:highlight w:val="green"/>
          <w:lang w:val="en-US"/>
        </w:rPr>
        <w:fldChar w:fldCharType="end"/>
      </w:r>
      <w:r w:rsidRPr="00443112">
        <w:rPr>
          <w:rFonts w:eastAsiaTheme="minorEastAsia"/>
          <w:iCs/>
          <w:highlight w:val="green"/>
          <w:lang w:val="en-US"/>
        </w:rPr>
        <w:fldChar w:fldCharType="begin"/>
      </w:r>
      <w:r w:rsidRPr="00443112">
        <w:rPr>
          <w:rFonts w:eastAsiaTheme="minorEastAsia"/>
          <w:iCs/>
          <w:highlight w:val="green"/>
          <w:lang w:val="en-US"/>
        </w:rPr>
        <w:instrText xml:space="preserve"> REF _Ref87264528 \r \h </w:instrText>
      </w:r>
      <w:r>
        <w:rPr>
          <w:rFonts w:eastAsiaTheme="minorEastAsia"/>
          <w:iCs/>
          <w:highlight w:val="green"/>
          <w:lang w:val="en-US"/>
        </w:rPr>
        <w:instrText xml:space="preserve"> \* MERGEFORMAT </w:instrText>
      </w:r>
      <w:r w:rsidRPr="00443112">
        <w:rPr>
          <w:rFonts w:eastAsiaTheme="minorEastAsia"/>
          <w:iCs/>
          <w:highlight w:val="green"/>
          <w:lang w:val="en-US"/>
        </w:rPr>
      </w:r>
      <w:r w:rsidRPr="00443112">
        <w:rPr>
          <w:rFonts w:eastAsiaTheme="minorEastAsia"/>
          <w:iCs/>
          <w:highlight w:val="green"/>
          <w:lang w:val="en-US"/>
        </w:rPr>
        <w:fldChar w:fldCharType="separate"/>
      </w:r>
      <w:r w:rsidRPr="00443112">
        <w:rPr>
          <w:rFonts w:eastAsiaTheme="minorEastAsia"/>
          <w:iCs/>
          <w:highlight w:val="green"/>
          <w:lang w:val="en-US"/>
        </w:rPr>
        <w:t>[2]</w:t>
      </w:r>
      <w:r w:rsidRPr="00443112">
        <w:rPr>
          <w:rFonts w:eastAsiaTheme="minorEastAsia"/>
          <w:iCs/>
          <w:highlight w:val="green"/>
          <w:lang w:val="en-US"/>
        </w:rPr>
        <w:fldChar w:fldCharType="end"/>
      </w:r>
      <w:r w:rsidRPr="00443112">
        <w:rPr>
          <w:rFonts w:eastAsiaTheme="minorEastAsia"/>
          <w:iCs/>
          <w:highlight w:val="green"/>
          <w:lang w:val="en-US"/>
        </w:rPr>
        <w:t xml:space="preserve"> it is common understanding that there is some performance impact if no dedicated filters are applied on UE or gNB side for widerCBW approach.  There are two possible candidate solutions on applying the widerCBW solution.</w:t>
      </w:r>
    </w:p>
    <w:p w:rsidR="00884196" w:rsidRPr="00443112" w:rsidRDefault="00884196" w:rsidP="00884196">
      <w:pPr>
        <w:pStyle w:val="af0"/>
        <w:numPr>
          <w:ilvl w:val="0"/>
          <w:numId w:val="9"/>
        </w:numPr>
        <w:ind w:firstLineChars="0"/>
        <w:rPr>
          <w:rFonts w:eastAsiaTheme="minorEastAsia"/>
          <w:iCs/>
          <w:highlight w:val="green"/>
          <w:lang w:val="en-US"/>
        </w:rPr>
      </w:pPr>
      <w:r w:rsidRPr="00443112">
        <w:rPr>
          <w:rFonts w:eastAsiaTheme="minorEastAsia"/>
          <w:iCs/>
          <w:highlight w:val="green"/>
          <w:lang w:val="en-US"/>
        </w:rPr>
        <w:t xml:space="preserve">Document scenario limitations (e.g. collocated scenarios only) of the widerCBW approach without dedicated filters on UE/gNB.  </w:t>
      </w:r>
    </w:p>
    <w:p w:rsidR="00884196" w:rsidRPr="00443112" w:rsidRDefault="00884196" w:rsidP="00884196">
      <w:pPr>
        <w:pStyle w:val="af0"/>
        <w:numPr>
          <w:ilvl w:val="0"/>
          <w:numId w:val="9"/>
        </w:numPr>
        <w:ind w:firstLineChars="0"/>
        <w:rPr>
          <w:rFonts w:eastAsiaTheme="minorEastAsia"/>
          <w:iCs/>
          <w:highlight w:val="green"/>
          <w:lang w:val="en-US"/>
        </w:rPr>
      </w:pPr>
      <w:r w:rsidRPr="00443112">
        <w:rPr>
          <w:rFonts w:eastAsiaTheme="minorEastAsia"/>
          <w:iCs/>
          <w:highlight w:val="green"/>
          <w:lang w:val="en-US"/>
        </w:rPr>
        <w:t>Document and agree the need for new dedicated gNB channel filters are required for this method to be work, if needed.</w:t>
      </w:r>
    </w:p>
    <w:p w:rsidR="00884196" w:rsidRDefault="00884196" w:rsidP="00884196">
      <w:pPr>
        <w:rPr>
          <w:rFonts w:eastAsiaTheme="minorEastAsia"/>
          <w:iCs/>
          <w:lang w:val="en-US"/>
        </w:rPr>
      </w:pPr>
      <w:r w:rsidRPr="00443112">
        <w:rPr>
          <w:rFonts w:eastAsiaTheme="minorEastAsia"/>
          <w:iCs/>
          <w:highlight w:val="green"/>
          <w:lang w:val="en-US"/>
        </w:rPr>
        <w:t>Companies are encouraged to bring text proposals for next meeting to capture either or both solutions in TR.</w:t>
      </w:r>
    </w:p>
    <w:p w:rsidR="00884196" w:rsidRPr="00884196" w:rsidRDefault="00884196" w:rsidP="003D4A9C">
      <w:pPr>
        <w:rPr>
          <w:lang w:val="en-US"/>
        </w:rPr>
      </w:pPr>
    </w:p>
    <w:p w:rsidR="00F155A5" w:rsidRDefault="000B0649" w:rsidP="003D4A9C">
      <w:r>
        <w:t xml:space="preserve">As discussed </w:t>
      </w:r>
      <w:r w:rsidR="00DE7FF3">
        <w:t>in previous</w:t>
      </w:r>
      <w:r w:rsidR="007B0914">
        <w:t xml:space="preserve"> meeting</w:t>
      </w:r>
      <w:r w:rsidR="00DE7FF3">
        <w:t>ss</w:t>
      </w:r>
      <w:r w:rsidR="007B0914">
        <w:t xml:space="preserve"> [3]</w:t>
      </w:r>
      <w:r w:rsidR="00DE7FF3">
        <w:t xml:space="preserve"> and [4]</w:t>
      </w:r>
      <w:r w:rsidR="007B0914">
        <w:t xml:space="preserve">, </w:t>
      </w:r>
      <w:r w:rsidRPr="000B0649">
        <w:t xml:space="preserve">WiderCHBW </w:t>
      </w:r>
      <w:r w:rsidR="00DE7FF3">
        <w:t xml:space="preserve">approach is </w:t>
      </w:r>
      <w:r w:rsidRPr="000B0649">
        <w:t>applicable for co-located adjacent channel deployments</w:t>
      </w:r>
      <w:r w:rsidR="00DE7FF3">
        <w:t>, e.g.</w:t>
      </w:r>
      <w:r w:rsidR="00F155A5">
        <w:t xml:space="preserve"> </w:t>
      </w:r>
      <w:r w:rsidR="00F155A5">
        <w:rPr>
          <w:lang w:val="en-US"/>
        </w:rPr>
        <w:t>operator holds the regular spectrum and some of the spectrum is used for other RAT, with the remaining spectrum is irregular bandwidth. And for this option, there is no specification impact at all and it can be configured in the co-location deployments or similar scenarios, with BS and UE complied with existing conformance testing.</w:t>
      </w:r>
    </w:p>
    <w:p w:rsidR="00D44812" w:rsidRDefault="000B0649" w:rsidP="003D4A9C">
      <w:r>
        <w:t xml:space="preserve"> </w:t>
      </w:r>
      <w:r w:rsidR="00F155A5">
        <w:t xml:space="preserve">However, </w:t>
      </w:r>
      <w:r w:rsidR="007B0914">
        <w:t>for non-collocated,</w:t>
      </w:r>
      <w:r w:rsidR="00F155A5">
        <w:t xml:space="preserve"> in DL for example,</w:t>
      </w:r>
      <w:r w:rsidR="007B0914">
        <w:t xml:space="preserve"> the existing ACLR/OBUE for BS and ACS/blocking for UE applicable at channel </w:t>
      </w:r>
      <w:r w:rsidR="00F155A5">
        <w:t xml:space="preserve">bandwidth </w:t>
      </w:r>
      <w:r w:rsidR="007B0914">
        <w:t>edge should be met.</w:t>
      </w:r>
      <w:r w:rsidR="00F155A5">
        <w:t xml:space="preserve"> In such case, </w:t>
      </w:r>
      <w:r w:rsidR="00B867AB">
        <w:t xml:space="preserve">new </w:t>
      </w:r>
      <w:r w:rsidR="00F155A5">
        <w:t xml:space="preserve">dedicated BS </w:t>
      </w:r>
      <w:r w:rsidR="00B867AB">
        <w:t xml:space="preserve">channel filters </w:t>
      </w:r>
      <w:r w:rsidR="00F155A5">
        <w:t>for each irregular bandwidth is needed,</w:t>
      </w:r>
      <w:r w:rsidR="00B867AB">
        <w:t xml:space="preserve"> which is not prioritized as stated in the SID.</w:t>
      </w:r>
      <w:r w:rsidR="001D2F3D">
        <w:t xml:space="preserve"> </w:t>
      </w:r>
      <w:r w:rsidR="00183EBE">
        <w:t>One possibility for non-collocated scenarios is that it is deployed with some performance degradation. In the case we think it belong to implementation solution and will be complicated to define it in a standardized way.</w:t>
      </w:r>
    </w:p>
    <w:p w:rsidR="000B0649" w:rsidRDefault="00B867AB" w:rsidP="00B867AB">
      <w:pPr>
        <w:pStyle w:val="NO"/>
        <w:ind w:hanging="490"/>
        <w:rPr>
          <w:lang w:eastAsia="ko-KR"/>
        </w:rPr>
      </w:pPr>
      <w:r>
        <w:rPr>
          <w:lang w:eastAsia="zh-CN"/>
        </w:rPr>
        <w:t>“</w:t>
      </w:r>
      <w:r w:rsidRPr="00A76C8A">
        <w:rPr>
          <w:lang w:eastAsia="ko-KR"/>
        </w:rPr>
        <w:t>NOTE:</w:t>
      </w:r>
      <w:r w:rsidRPr="00A76C8A">
        <w:rPr>
          <w:lang w:eastAsia="ko-KR"/>
        </w:rPr>
        <w:tab/>
      </w:r>
      <w:r w:rsidRPr="00A76C8A">
        <w:rPr>
          <w:lang w:eastAsia="zh-CN"/>
        </w:rPr>
        <w:t xml:space="preserve">For all considered solutions, new (dedicated) channel filters (e.g. </w:t>
      </w:r>
      <w:r w:rsidRPr="00A76C8A">
        <w:t>non-integer-multiples of 5MHz</w:t>
      </w:r>
      <w:r w:rsidRPr="00A76C8A">
        <w:rPr>
          <w:lang w:eastAsia="zh-CN"/>
        </w:rPr>
        <w:t>) are not considered for the UE and not prioritized for the gNB.</w:t>
      </w:r>
      <w:r>
        <w:rPr>
          <w:lang w:eastAsia="zh-CN"/>
        </w:rPr>
        <w:t>”</w:t>
      </w:r>
    </w:p>
    <w:p w:rsidR="009C1FA8" w:rsidRDefault="009C1FA8" w:rsidP="003D4A9C">
      <w:pPr>
        <w:rPr>
          <w:b/>
        </w:rPr>
      </w:pPr>
      <w:r>
        <w:rPr>
          <w:b/>
        </w:rPr>
        <w:t xml:space="preserve">Observation 1: </w:t>
      </w:r>
      <w:r w:rsidR="00E016AF" w:rsidRPr="00E016AF">
        <w:rPr>
          <w:b/>
        </w:rPr>
        <w:t>Without introduction of new channel filters, WiderCHBW might not be applicable for non-collocated scenarios</w:t>
      </w:r>
      <w:r w:rsidR="00010945" w:rsidRPr="00E016AF">
        <w:rPr>
          <w:b/>
        </w:rPr>
        <w:t>.</w:t>
      </w:r>
    </w:p>
    <w:p w:rsidR="00E016AF" w:rsidRDefault="00123FFC" w:rsidP="003D4A9C">
      <w:pPr>
        <w:rPr>
          <w:b/>
        </w:rPr>
      </w:pPr>
      <w:r>
        <w:rPr>
          <w:b/>
        </w:rPr>
        <w:lastRenderedPageBreak/>
        <w:t xml:space="preserve">Observation 2: </w:t>
      </w:r>
      <w:r w:rsidR="00E016AF" w:rsidRPr="00E016AF">
        <w:rPr>
          <w:b/>
        </w:rPr>
        <w:t>To meet the TX emission and RX ACS/blocking, new channel filters are needed for the gNB which is not prioritized as stated in the SID.</w:t>
      </w:r>
    </w:p>
    <w:p w:rsidR="000112A4" w:rsidRPr="00E016AF" w:rsidRDefault="000112A4" w:rsidP="003D4A9C">
      <w:pPr>
        <w:rPr>
          <w:b/>
        </w:rPr>
      </w:pPr>
      <w:r>
        <w:rPr>
          <w:b/>
        </w:rPr>
        <w:t>Proposal 1: it is propose to take option1 solution for</w:t>
      </w:r>
      <w:r w:rsidRPr="000112A4">
        <w:rPr>
          <w:b/>
        </w:rPr>
        <w:t xml:space="preserve"> applying the widerCBW solution</w:t>
      </w:r>
      <w:r>
        <w:rPr>
          <w:b/>
        </w:rPr>
        <w:t>.</w:t>
      </w:r>
    </w:p>
    <w:p w:rsidR="000B701A" w:rsidRPr="00536F1E" w:rsidRDefault="000B701A" w:rsidP="00946331"/>
    <w:p w:rsidR="00A45357" w:rsidRDefault="00563F22" w:rsidP="00A15CF2">
      <w:pPr>
        <w:pStyle w:val="1"/>
        <w:tabs>
          <w:tab w:val="num" w:pos="397"/>
        </w:tabs>
        <w:ind w:left="533" w:hanging="533"/>
      </w:pPr>
      <w:r>
        <w:t>C</w:t>
      </w:r>
      <w:r>
        <w:rPr>
          <w:rFonts w:hint="eastAsia"/>
        </w:rPr>
        <w:t>onclusions</w:t>
      </w:r>
    </w:p>
    <w:p w:rsidR="00FD5A1B" w:rsidRDefault="00523B83" w:rsidP="00FD5A1B">
      <w:r>
        <w:rPr>
          <w:rFonts w:hint="eastAsia"/>
        </w:rPr>
        <w:t>I</w:t>
      </w:r>
      <w:r>
        <w:t xml:space="preserve">n the contribution, we provide discussion </w:t>
      </w:r>
      <w:r w:rsidR="000112A4">
        <w:t xml:space="preserve">and text proposal </w:t>
      </w:r>
      <w:r>
        <w:t xml:space="preserve">on </w:t>
      </w:r>
      <w:r w:rsidR="00D11B7D">
        <w:t>the use of larger channel bandwidths.</w:t>
      </w:r>
    </w:p>
    <w:p w:rsidR="000112A4" w:rsidRDefault="000112A4" w:rsidP="000112A4">
      <w:pPr>
        <w:rPr>
          <w:b/>
        </w:rPr>
      </w:pPr>
      <w:r>
        <w:rPr>
          <w:b/>
        </w:rPr>
        <w:t xml:space="preserve">Observation 1: </w:t>
      </w:r>
      <w:r w:rsidRPr="00E016AF">
        <w:rPr>
          <w:b/>
        </w:rPr>
        <w:t>Without introduction of new channel filters, WiderCHBW might not be applicable for non-collocated scenarios.</w:t>
      </w:r>
    </w:p>
    <w:p w:rsidR="000112A4" w:rsidRDefault="000112A4" w:rsidP="000112A4">
      <w:pPr>
        <w:rPr>
          <w:b/>
        </w:rPr>
      </w:pPr>
      <w:r>
        <w:rPr>
          <w:b/>
        </w:rPr>
        <w:t xml:space="preserve">Observation 2: </w:t>
      </w:r>
      <w:r w:rsidRPr="00E016AF">
        <w:rPr>
          <w:b/>
        </w:rPr>
        <w:t>To meet the TX emission and RX ACS/blocking, new channel filters are needed for the gNB which is not prioritized as stated in the SID.</w:t>
      </w:r>
    </w:p>
    <w:p w:rsidR="000112A4" w:rsidRPr="00E016AF" w:rsidRDefault="000112A4" w:rsidP="000112A4">
      <w:pPr>
        <w:rPr>
          <w:b/>
        </w:rPr>
      </w:pPr>
      <w:r>
        <w:rPr>
          <w:b/>
        </w:rPr>
        <w:t>Proposal 1: it is propose to take option1 solution for</w:t>
      </w:r>
      <w:r w:rsidRPr="000112A4">
        <w:rPr>
          <w:b/>
        </w:rPr>
        <w:t xml:space="preserve"> applying the widerCBW solution</w:t>
      </w:r>
      <w:r>
        <w:rPr>
          <w:b/>
        </w:rPr>
        <w:t>.</w:t>
      </w:r>
    </w:p>
    <w:p w:rsidR="00563F22" w:rsidRPr="00563F22" w:rsidRDefault="00563F22" w:rsidP="00563F22">
      <w:pPr>
        <w:pStyle w:val="1"/>
        <w:tabs>
          <w:tab w:val="num" w:pos="397"/>
        </w:tabs>
        <w:ind w:left="533" w:hanging="533"/>
      </w:pPr>
      <w:r>
        <w:t xml:space="preserve">References </w:t>
      </w:r>
    </w:p>
    <w:p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rsidR="009D3032" w:rsidRDefault="00DE7FF3" w:rsidP="00DE7FF3">
      <w:pPr>
        <w:pStyle w:val="References"/>
      </w:pPr>
      <w:r w:rsidRPr="00DE7FF3">
        <w:t>R4-2120010</w:t>
      </w:r>
      <w:r w:rsidR="009D3032" w:rsidRPr="009D3032">
        <w:t xml:space="preserve">, </w:t>
      </w:r>
      <w:r w:rsidRPr="00DE7FF3">
        <w:t>WF on WiderCBW Approach</w:t>
      </w:r>
      <w:r w:rsidR="009D3032" w:rsidRPr="009D3032">
        <w:t xml:space="preserve">, </w:t>
      </w:r>
      <w:r w:rsidRPr="00DE7FF3">
        <w:t>Ericsson</w:t>
      </w:r>
    </w:p>
    <w:p w:rsidR="002E42D9" w:rsidRDefault="002E42D9" w:rsidP="002E42D9">
      <w:pPr>
        <w:pStyle w:val="References"/>
      </w:pPr>
      <w:r w:rsidRPr="002E42D9">
        <w:t>R4-2106485</w:t>
      </w:r>
      <w:r>
        <w:t xml:space="preserve">, </w:t>
      </w:r>
      <w:r w:rsidRPr="002E42D9">
        <w:t>Consideration on use of larger channel bandwidth</w:t>
      </w:r>
      <w:r>
        <w:t xml:space="preserve">, </w:t>
      </w:r>
      <w:r w:rsidRPr="002E42D9">
        <w:t>Huawei, HiSilicon</w:t>
      </w:r>
    </w:p>
    <w:p w:rsidR="00DE7FF3" w:rsidRDefault="00DE7FF3" w:rsidP="00DE7FF3">
      <w:pPr>
        <w:pStyle w:val="References"/>
      </w:pPr>
      <w:r>
        <w:t xml:space="preserve">R4-2113045, </w:t>
      </w:r>
      <w:r w:rsidRPr="00DE7FF3">
        <w:t>Evaluation for use of larger channel bandwidth, Huawei, HiSilicon</w:t>
      </w:r>
    </w:p>
    <w:p w:rsidR="00E407EA" w:rsidRPr="000D06D3" w:rsidRDefault="00E407EA" w:rsidP="00612E55">
      <w:pPr>
        <w:pStyle w:val="References"/>
        <w:numPr>
          <w:ilvl w:val="0"/>
          <w:numId w:val="0"/>
        </w:numPr>
        <w:ind w:left="360"/>
      </w:pPr>
    </w:p>
    <w:sectPr w:rsidR="00E407EA" w:rsidRPr="000D06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0606" w:rsidRDefault="00BE0606">
      <w:r>
        <w:separator/>
      </w:r>
    </w:p>
  </w:endnote>
  <w:endnote w:type="continuationSeparator" w:id="0">
    <w:p w:rsidR="00BE0606" w:rsidRDefault="00BE0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0606" w:rsidRDefault="00BE0606">
      <w:r>
        <w:separator/>
      </w:r>
    </w:p>
  </w:footnote>
  <w:footnote w:type="continuationSeparator" w:id="0">
    <w:p w:rsidR="00BE0606" w:rsidRDefault="00BE06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E3211"/>
    <w:multiLevelType w:val="hybridMultilevel"/>
    <w:tmpl w:val="4874D5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E235003"/>
    <w:multiLevelType w:val="hybridMultilevel"/>
    <w:tmpl w:val="836AECB2"/>
    <w:lvl w:ilvl="0" w:tplc="EF682E10">
      <w:start w:val="1"/>
      <w:numFmt w:val="bullet"/>
      <w:lvlText w:val="•"/>
      <w:lvlJc w:val="left"/>
      <w:pPr>
        <w:tabs>
          <w:tab w:val="num" w:pos="720"/>
        </w:tabs>
        <w:ind w:left="720" w:hanging="360"/>
      </w:pPr>
      <w:rPr>
        <w:rFonts w:ascii="Arial" w:hAnsi="Arial" w:hint="default"/>
      </w:rPr>
    </w:lvl>
    <w:lvl w:ilvl="1" w:tplc="7206C58A">
      <w:numFmt w:val="bullet"/>
      <w:lvlText w:val="•"/>
      <w:lvlJc w:val="left"/>
      <w:pPr>
        <w:tabs>
          <w:tab w:val="num" w:pos="1440"/>
        </w:tabs>
        <w:ind w:left="1440" w:hanging="360"/>
      </w:pPr>
      <w:rPr>
        <w:rFonts w:ascii="Arial" w:hAnsi="Arial" w:hint="default"/>
      </w:rPr>
    </w:lvl>
    <w:lvl w:ilvl="2" w:tplc="C98A6C34" w:tentative="1">
      <w:start w:val="1"/>
      <w:numFmt w:val="bullet"/>
      <w:lvlText w:val="•"/>
      <w:lvlJc w:val="left"/>
      <w:pPr>
        <w:tabs>
          <w:tab w:val="num" w:pos="2160"/>
        </w:tabs>
        <w:ind w:left="2160" w:hanging="360"/>
      </w:pPr>
      <w:rPr>
        <w:rFonts w:ascii="Arial" w:hAnsi="Arial" w:hint="default"/>
      </w:rPr>
    </w:lvl>
    <w:lvl w:ilvl="3" w:tplc="85F48BA8" w:tentative="1">
      <w:start w:val="1"/>
      <w:numFmt w:val="bullet"/>
      <w:lvlText w:val="•"/>
      <w:lvlJc w:val="left"/>
      <w:pPr>
        <w:tabs>
          <w:tab w:val="num" w:pos="2880"/>
        </w:tabs>
        <w:ind w:left="2880" w:hanging="360"/>
      </w:pPr>
      <w:rPr>
        <w:rFonts w:ascii="Arial" w:hAnsi="Arial" w:hint="default"/>
      </w:rPr>
    </w:lvl>
    <w:lvl w:ilvl="4" w:tplc="3D0A1FF8" w:tentative="1">
      <w:start w:val="1"/>
      <w:numFmt w:val="bullet"/>
      <w:lvlText w:val="•"/>
      <w:lvlJc w:val="left"/>
      <w:pPr>
        <w:tabs>
          <w:tab w:val="num" w:pos="3600"/>
        </w:tabs>
        <w:ind w:left="3600" w:hanging="360"/>
      </w:pPr>
      <w:rPr>
        <w:rFonts w:ascii="Arial" w:hAnsi="Arial" w:hint="default"/>
      </w:rPr>
    </w:lvl>
    <w:lvl w:ilvl="5" w:tplc="C6C639A2" w:tentative="1">
      <w:start w:val="1"/>
      <w:numFmt w:val="bullet"/>
      <w:lvlText w:val="•"/>
      <w:lvlJc w:val="left"/>
      <w:pPr>
        <w:tabs>
          <w:tab w:val="num" w:pos="4320"/>
        </w:tabs>
        <w:ind w:left="4320" w:hanging="360"/>
      </w:pPr>
      <w:rPr>
        <w:rFonts w:ascii="Arial" w:hAnsi="Arial" w:hint="default"/>
      </w:rPr>
    </w:lvl>
    <w:lvl w:ilvl="6" w:tplc="6FACB4E6" w:tentative="1">
      <w:start w:val="1"/>
      <w:numFmt w:val="bullet"/>
      <w:lvlText w:val="•"/>
      <w:lvlJc w:val="left"/>
      <w:pPr>
        <w:tabs>
          <w:tab w:val="num" w:pos="5040"/>
        </w:tabs>
        <w:ind w:left="5040" w:hanging="360"/>
      </w:pPr>
      <w:rPr>
        <w:rFonts w:ascii="Arial" w:hAnsi="Arial" w:hint="default"/>
      </w:rPr>
    </w:lvl>
    <w:lvl w:ilvl="7" w:tplc="827A2AEE" w:tentative="1">
      <w:start w:val="1"/>
      <w:numFmt w:val="bullet"/>
      <w:lvlText w:val="•"/>
      <w:lvlJc w:val="left"/>
      <w:pPr>
        <w:tabs>
          <w:tab w:val="num" w:pos="5760"/>
        </w:tabs>
        <w:ind w:left="5760" w:hanging="360"/>
      </w:pPr>
      <w:rPr>
        <w:rFonts w:ascii="Arial" w:hAnsi="Arial" w:hint="default"/>
      </w:rPr>
    </w:lvl>
    <w:lvl w:ilvl="8" w:tplc="310849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4"/>
  </w:num>
  <w:num w:numId="4">
    <w:abstractNumId w:val="6"/>
  </w:num>
  <w:num w:numId="5">
    <w:abstractNumId w:val="8"/>
  </w:num>
  <w:num w:numId="6">
    <w:abstractNumId w:val="1"/>
  </w:num>
  <w:num w:numId="7">
    <w:abstractNumId w:val="7"/>
  </w:num>
  <w:num w:numId="8">
    <w:abstractNumId w:val="5"/>
  </w:num>
  <w:num w:numId="9">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45"/>
    <w:rsid w:val="000109E6"/>
    <w:rsid w:val="000112A4"/>
    <w:rsid w:val="00011F67"/>
    <w:rsid w:val="00012862"/>
    <w:rsid w:val="000128E6"/>
    <w:rsid w:val="0001538E"/>
    <w:rsid w:val="00015EFB"/>
    <w:rsid w:val="000165E2"/>
    <w:rsid w:val="00016FEA"/>
    <w:rsid w:val="000172BE"/>
    <w:rsid w:val="00017D8A"/>
    <w:rsid w:val="00023388"/>
    <w:rsid w:val="00023425"/>
    <w:rsid w:val="000238CC"/>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0649"/>
    <w:rsid w:val="000B2985"/>
    <w:rsid w:val="000B2C88"/>
    <w:rsid w:val="000B3342"/>
    <w:rsid w:val="000B34B7"/>
    <w:rsid w:val="000B51FA"/>
    <w:rsid w:val="000B5905"/>
    <w:rsid w:val="000B5975"/>
    <w:rsid w:val="000B6E2C"/>
    <w:rsid w:val="000B701A"/>
    <w:rsid w:val="000B76C5"/>
    <w:rsid w:val="000B7A10"/>
    <w:rsid w:val="000B7DD5"/>
    <w:rsid w:val="000C0C15"/>
    <w:rsid w:val="000C0EAA"/>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6B22"/>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17ED"/>
    <w:rsid w:val="001024DC"/>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183D"/>
    <w:rsid w:val="00123197"/>
    <w:rsid w:val="00123FFC"/>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BE"/>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673E"/>
    <w:rsid w:val="001A68A5"/>
    <w:rsid w:val="001A7763"/>
    <w:rsid w:val="001A7BF4"/>
    <w:rsid w:val="001B3964"/>
    <w:rsid w:val="001B4452"/>
    <w:rsid w:val="001B466C"/>
    <w:rsid w:val="001B4F34"/>
    <w:rsid w:val="001B522D"/>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2F3D"/>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69F"/>
    <w:rsid w:val="00213830"/>
    <w:rsid w:val="00213E03"/>
    <w:rsid w:val="002140FF"/>
    <w:rsid w:val="002163C3"/>
    <w:rsid w:val="00220894"/>
    <w:rsid w:val="0022484B"/>
    <w:rsid w:val="00224952"/>
    <w:rsid w:val="00224DD2"/>
    <w:rsid w:val="00225A6A"/>
    <w:rsid w:val="00225AC7"/>
    <w:rsid w:val="00225ACC"/>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2E57"/>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E0319"/>
    <w:rsid w:val="002E0467"/>
    <w:rsid w:val="002E13F0"/>
    <w:rsid w:val="002E179B"/>
    <w:rsid w:val="002E1C9E"/>
    <w:rsid w:val="002E257B"/>
    <w:rsid w:val="002E3C65"/>
    <w:rsid w:val="002E3F5B"/>
    <w:rsid w:val="002E42D9"/>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72E"/>
    <w:rsid w:val="00385B05"/>
    <w:rsid w:val="00386382"/>
    <w:rsid w:val="003865EF"/>
    <w:rsid w:val="00386BA9"/>
    <w:rsid w:val="00386CC3"/>
    <w:rsid w:val="00390017"/>
    <w:rsid w:val="003901A3"/>
    <w:rsid w:val="0039072F"/>
    <w:rsid w:val="003940CE"/>
    <w:rsid w:val="00395894"/>
    <w:rsid w:val="00397C1D"/>
    <w:rsid w:val="003A0F34"/>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7488"/>
    <w:rsid w:val="0047083E"/>
    <w:rsid w:val="00470EB5"/>
    <w:rsid w:val="0047286B"/>
    <w:rsid w:val="00472B58"/>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0DF4"/>
    <w:rsid w:val="0049141C"/>
    <w:rsid w:val="0049144D"/>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9E6"/>
    <w:rsid w:val="004B4D69"/>
    <w:rsid w:val="004C01A8"/>
    <w:rsid w:val="004C1840"/>
    <w:rsid w:val="004C24C9"/>
    <w:rsid w:val="004C2CBB"/>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C55"/>
    <w:rsid w:val="004E2DE0"/>
    <w:rsid w:val="004E4060"/>
    <w:rsid w:val="004E409A"/>
    <w:rsid w:val="004E6341"/>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7200"/>
    <w:rsid w:val="00530157"/>
    <w:rsid w:val="00531314"/>
    <w:rsid w:val="00531EBE"/>
    <w:rsid w:val="005329BC"/>
    <w:rsid w:val="00532F8B"/>
    <w:rsid w:val="00533737"/>
    <w:rsid w:val="00535B79"/>
    <w:rsid w:val="00535D7C"/>
    <w:rsid w:val="00536579"/>
    <w:rsid w:val="00536C1E"/>
    <w:rsid w:val="00536C40"/>
    <w:rsid w:val="00536F1E"/>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5689"/>
    <w:rsid w:val="005B0542"/>
    <w:rsid w:val="005B2225"/>
    <w:rsid w:val="005B2799"/>
    <w:rsid w:val="005B2B77"/>
    <w:rsid w:val="005B3D4A"/>
    <w:rsid w:val="005B4D87"/>
    <w:rsid w:val="005B5D0E"/>
    <w:rsid w:val="005B5D66"/>
    <w:rsid w:val="005B7DD1"/>
    <w:rsid w:val="005C00A0"/>
    <w:rsid w:val="005C0A0C"/>
    <w:rsid w:val="005C28FA"/>
    <w:rsid w:val="005C2EAF"/>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2BD2"/>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34D"/>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CF1"/>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0914"/>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3D3B"/>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4442"/>
    <w:rsid w:val="00845C12"/>
    <w:rsid w:val="008469D9"/>
    <w:rsid w:val="00846DC0"/>
    <w:rsid w:val="0084719E"/>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03"/>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4196"/>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536"/>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31"/>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C0074"/>
    <w:rsid w:val="009C0564"/>
    <w:rsid w:val="009C0820"/>
    <w:rsid w:val="009C1FA8"/>
    <w:rsid w:val="009C2685"/>
    <w:rsid w:val="009C39BC"/>
    <w:rsid w:val="009C4BC2"/>
    <w:rsid w:val="009C4D22"/>
    <w:rsid w:val="009C7320"/>
    <w:rsid w:val="009D0599"/>
    <w:rsid w:val="009D0729"/>
    <w:rsid w:val="009D0F66"/>
    <w:rsid w:val="009D1A06"/>
    <w:rsid w:val="009D1BA4"/>
    <w:rsid w:val="009D22E4"/>
    <w:rsid w:val="009D22F7"/>
    <w:rsid w:val="009D3032"/>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9B2"/>
    <w:rsid w:val="00A83E3D"/>
    <w:rsid w:val="00A840AE"/>
    <w:rsid w:val="00A8443A"/>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40B2"/>
    <w:rsid w:val="00B071C0"/>
    <w:rsid w:val="00B07F71"/>
    <w:rsid w:val="00B10558"/>
    <w:rsid w:val="00B13148"/>
    <w:rsid w:val="00B156A9"/>
    <w:rsid w:val="00B15F83"/>
    <w:rsid w:val="00B160FF"/>
    <w:rsid w:val="00B16322"/>
    <w:rsid w:val="00B1662E"/>
    <w:rsid w:val="00B16A6F"/>
    <w:rsid w:val="00B22C0D"/>
    <w:rsid w:val="00B23AF4"/>
    <w:rsid w:val="00B23C15"/>
    <w:rsid w:val="00B24CDE"/>
    <w:rsid w:val="00B25762"/>
    <w:rsid w:val="00B25B40"/>
    <w:rsid w:val="00B25EA7"/>
    <w:rsid w:val="00B25FDE"/>
    <w:rsid w:val="00B26AB0"/>
    <w:rsid w:val="00B26AD2"/>
    <w:rsid w:val="00B26CA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472FF"/>
    <w:rsid w:val="00B508D7"/>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7AB"/>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1E2"/>
    <w:rsid w:val="00BA0632"/>
    <w:rsid w:val="00BA0AAA"/>
    <w:rsid w:val="00BA0DFB"/>
    <w:rsid w:val="00BA2FEF"/>
    <w:rsid w:val="00BA35BF"/>
    <w:rsid w:val="00BA3DE7"/>
    <w:rsid w:val="00BA7566"/>
    <w:rsid w:val="00BB0CC5"/>
    <w:rsid w:val="00BB0E6B"/>
    <w:rsid w:val="00BB1191"/>
    <w:rsid w:val="00BB1548"/>
    <w:rsid w:val="00BB1CE7"/>
    <w:rsid w:val="00BB2FD3"/>
    <w:rsid w:val="00BB2FDF"/>
    <w:rsid w:val="00BB2FFF"/>
    <w:rsid w:val="00BB5FCB"/>
    <w:rsid w:val="00BB604B"/>
    <w:rsid w:val="00BC00EC"/>
    <w:rsid w:val="00BC08C5"/>
    <w:rsid w:val="00BC0EAA"/>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4979"/>
    <w:rsid w:val="00BD50AA"/>
    <w:rsid w:val="00BD5135"/>
    <w:rsid w:val="00BD7291"/>
    <w:rsid w:val="00BD7EA3"/>
    <w:rsid w:val="00BD7FE2"/>
    <w:rsid w:val="00BE0606"/>
    <w:rsid w:val="00BE0B19"/>
    <w:rsid w:val="00BE0DD8"/>
    <w:rsid w:val="00BE13F0"/>
    <w:rsid w:val="00BE1D82"/>
    <w:rsid w:val="00BE1EE4"/>
    <w:rsid w:val="00BE1F8B"/>
    <w:rsid w:val="00BE2B4F"/>
    <w:rsid w:val="00BE2F39"/>
    <w:rsid w:val="00BE332D"/>
    <w:rsid w:val="00BE3CF1"/>
    <w:rsid w:val="00BE4B20"/>
    <w:rsid w:val="00BE5FC4"/>
    <w:rsid w:val="00BE5FE6"/>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1B7D"/>
    <w:rsid w:val="00D12293"/>
    <w:rsid w:val="00D14236"/>
    <w:rsid w:val="00D14553"/>
    <w:rsid w:val="00D14593"/>
    <w:rsid w:val="00D1497A"/>
    <w:rsid w:val="00D14A2C"/>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812"/>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C2C"/>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E7FF3"/>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6AF"/>
    <w:rsid w:val="00E01DAA"/>
    <w:rsid w:val="00E023E5"/>
    <w:rsid w:val="00E02432"/>
    <w:rsid w:val="00E04022"/>
    <w:rsid w:val="00E04757"/>
    <w:rsid w:val="00E0728F"/>
    <w:rsid w:val="00E0755C"/>
    <w:rsid w:val="00E07845"/>
    <w:rsid w:val="00E10EB2"/>
    <w:rsid w:val="00E1131D"/>
    <w:rsid w:val="00E14A7E"/>
    <w:rsid w:val="00E14F2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5F63"/>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7BF"/>
    <w:rsid w:val="00F13ECD"/>
    <w:rsid w:val="00F155A5"/>
    <w:rsid w:val="00F155CE"/>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AA2"/>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4AE2"/>
    <w:rsid w:val="00FF50A8"/>
    <w:rsid w:val="00FF571E"/>
    <w:rsid w:val="00FF586D"/>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46331"/>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9463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946331"/>
    <w:pPr>
      <w:pBdr>
        <w:top w:val="none" w:sz="0" w:space="0" w:color="auto"/>
      </w:pBdr>
      <w:spacing w:before="180"/>
      <w:outlineLvl w:val="1"/>
    </w:pPr>
    <w:rPr>
      <w:sz w:val="32"/>
    </w:rPr>
  </w:style>
  <w:style w:type="paragraph" w:styleId="3">
    <w:name w:val="heading 3"/>
    <w:aliases w:val="heading 3,h3"/>
    <w:basedOn w:val="2"/>
    <w:next w:val="a0"/>
    <w:qFormat/>
    <w:rsid w:val="00946331"/>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946331"/>
    <w:pPr>
      <w:ind w:left="1418" w:hanging="1418"/>
      <w:outlineLvl w:val="3"/>
    </w:pPr>
    <w:rPr>
      <w:sz w:val="24"/>
    </w:rPr>
  </w:style>
  <w:style w:type="paragraph" w:styleId="5">
    <w:name w:val="heading 5"/>
    <w:aliases w:val="h5,Heading5"/>
    <w:basedOn w:val="4"/>
    <w:next w:val="a0"/>
    <w:qFormat/>
    <w:rsid w:val="00946331"/>
    <w:pPr>
      <w:ind w:left="1701" w:hanging="1701"/>
      <w:outlineLvl w:val="4"/>
    </w:pPr>
    <w:rPr>
      <w:sz w:val="22"/>
    </w:rPr>
  </w:style>
  <w:style w:type="paragraph" w:styleId="6">
    <w:name w:val="heading 6"/>
    <w:basedOn w:val="a0"/>
    <w:next w:val="a0"/>
    <w:qFormat/>
    <w:rsid w:val="00946331"/>
    <w:pPr>
      <w:keepNext/>
      <w:keepLines/>
      <w:spacing w:before="120"/>
      <w:ind w:left="1985" w:hanging="1985"/>
      <w:outlineLvl w:val="5"/>
    </w:pPr>
    <w:rPr>
      <w:rFonts w:ascii="Arial" w:hAnsi="Arial"/>
    </w:rPr>
  </w:style>
  <w:style w:type="paragraph" w:styleId="7">
    <w:name w:val="heading 7"/>
    <w:basedOn w:val="a0"/>
    <w:next w:val="a0"/>
    <w:qFormat/>
    <w:rsid w:val="00946331"/>
    <w:pPr>
      <w:keepNext/>
      <w:keepLines/>
      <w:spacing w:before="120"/>
      <w:ind w:left="1985" w:hanging="1985"/>
      <w:outlineLvl w:val="6"/>
    </w:pPr>
    <w:rPr>
      <w:rFonts w:ascii="Arial" w:hAnsi="Arial"/>
    </w:rPr>
  </w:style>
  <w:style w:type="paragraph" w:styleId="8">
    <w:name w:val="heading 8"/>
    <w:basedOn w:val="1"/>
    <w:next w:val="a0"/>
    <w:qFormat/>
    <w:rsid w:val="00946331"/>
    <w:pPr>
      <w:ind w:left="0" w:firstLine="0"/>
      <w:outlineLvl w:val="7"/>
    </w:pPr>
  </w:style>
  <w:style w:type="paragraph" w:styleId="9">
    <w:name w:val="heading 9"/>
    <w:aliases w:val="Figure Heading,FH"/>
    <w:basedOn w:val="8"/>
    <w:next w:val="a0"/>
    <w:qFormat/>
    <w:rsid w:val="00946331"/>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목록단락,列"/>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rsid w:val="00956BBE"/>
    <w:rPr>
      <w:b/>
    </w:rPr>
  </w:style>
  <w:style w:type="paragraph" w:customStyle="1" w:styleId="TAC">
    <w:name w:val="TAC"/>
    <w:basedOn w:val="a0"/>
    <w:link w:val="TACChar"/>
    <w:rsid w:val="00956BBE"/>
    <w:pPr>
      <w:keepNext/>
      <w:keepLines/>
      <w:autoSpaceDE/>
      <w:autoSpaceDN/>
      <w:adjustRightInd/>
      <w:spacing w:after="0"/>
      <w:jc w:val="center"/>
    </w:pPr>
    <w:rPr>
      <w:rFonts w:ascii="Arial" w:hAnsi="Arial"/>
      <w:sz w:val="18"/>
    </w:rPr>
  </w:style>
  <w:style w:type="character" w:customStyle="1" w:styleId="TACChar">
    <w:name w:val="TAC Char"/>
    <w:link w:val="TAC"/>
    <w:rsid w:val="00956BBE"/>
    <w:rPr>
      <w:rFonts w:ascii="Arial" w:eastAsia="宋体" w:hAnsi="Arial"/>
      <w:sz w:val="18"/>
      <w:lang w:val="en-GB"/>
    </w:rPr>
  </w:style>
  <w:style w:type="character" w:customStyle="1" w:styleId="TAHCar">
    <w:name w:val="TAH Car"/>
    <w:link w:val="TAH"/>
    <w:rsid w:val="00956BBE"/>
    <w:rPr>
      <w:rFonts w:ascii="Arial" w:eastAsia="宋体" w:hAnsi="Arial"/>
      <w:b/>
      <w:sz w:val="18"/>
      <w:lang w:val="en-GB"/>
    </w:rPr>
  </w:style>
  <w:style w:type="paragraph" w:customStyle="1" w:styleId="TH">
    <w:name w:val="TH"/>
    <w:basedOn w:val="a0"/>
    <w:link w:val="THChar"/>
    <w:rsid w:val="00BB0E6B"/>
    <w:pPr>
      <w:keepNext/>
      <w:keepLines/>
      <w:spacing w:before="60"/>
      <w:jc w:val="center"/>
    </w:pPr>
    <w:rPr>
      <w:rFonts w:ascii="Arial" w:eastAsia="Times New Roman" w:hAnsi="Arial"/>
      <w:b/>
      <w:lang w:eastAsia="ko-KR"/>
    </w:rPr>
  </w:style>
  <w:style w:type="paragraph" w:customStyle="1" w:styleId="TAN">
    <w:name w:val="TAN"/>
    <w:basedOn w:val="a0"/>
    <w:link w:val="TANChar"/>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rsid w:val="00BB0E6B"/>
    <w:rPr>
      <w:rFonts w:ascii="Arial" w:eastAsia="Times New Roman" w:hAnsi="Arial"/>
      <w:b/>
      <w:lang w:val="en-GB" w:eastAsia="ko-KR"/>
    </w:rPr>
  </w:style>
  <w:style w:type="character" w:customStyle="1" w:styleId="TANChar">
    <w:name w:val="TAN Char"/>
    <w:link w:val="TAN"/>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rsid w:val="00F917B9"/>
    <w:pPr>
      <w:keepLines/>
      <w:tabs>
        <w:tab w:val="center" w:pos="4536"/>
        <w:tab w:val="right" w:pos="9072"/>
      </w:tabs>
      <w:autoSpaceDE/>
      <w:autoSpaceDN/>
      <w:adjustRightInd/>
    </w:pPr>
    <w:rPr>
      <w:noProof/>
    </w:rPr>
  </w:style>
  <w:style w:type="character" w:customStyle="1" w:styleId="B3Char2">
    <w:name w:val="B3 Char2"/>
    <w:link w:val="B3"/>
    <w:qFormat/>
    <w:locked/>
    <w:rsid w:val="000B701A"/>
    <w:rPr>
      <w:rFonts w:ascii="Times New Roman" w:eastAsia="Times New Roman" w:hAnsi="Times New Roman"/>
      <w:lang w:val="en-GB" w:eastAsia="ja-JP"/>
    </w:rPr>
  </w:style>
  <w:style w:type="paragraph" w:customStyle="1" w:styleId="B3">
    <w:name w:val="B3"/>
    <w:basedOn w:val="30"/>
    <w:link w:val="B3Char2"/>
    <w:qFormat/>
    <w:rsid w:val="000B701A"/>
    <w:pPr>
      <w:ind w:leftChars="0" w:left="1135" w:firstLineChars="0" w:hanging="284"/>
      <w:contextualSpacing w:val="0"/>
      <w:textAlignment w:val="auto"/>
    </w:pPr>
    <w:rPr>
      <w:rFonts w:eastAsia="Times New Roman"/>
      <w:lang w:eastAsia="ja-JP"/>
    </w:rPr>
  </w:style>
  <w:style w:type="paragraph" w:styleId="30">
    <w:name w:val="List 3"/>
    <w:basedOn w:val="a0"/>
    <w:semiHidden/>
    <w:unhideWhenUsed/>
    <w:rsid w:val="000B701A"/>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177">
      <w:bodyDiv w:val="1"/>
      <w:marLeft w:val="0"/>
      <w:marRight w:val="0"/>
      <w:marTop w:val="0"/>
      <w:marBottom w:val="0"/>
      <w:divBdr>
        <w:top w:val="none" w:sz="0" w:space="0" w:color="auto"/>
        <w:left w:val="none" w:sz="0" w:space="0" w:color="auto"/>
        <w:bottom w:val="none" w:sz="0" w:space="0" w:color="auto"/>
        <w:right w:val="none" w:sz="0" w:space="0" w:color="auto"/>
      </w:divBdr>
    </w:div>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7685935">
      <w:bodyDiv w:val="1"/>
      <w:marLeft w:val="0"/>
      <w:marRight w:val="0"/>
      <w:marTop w:val="0"/>
      <w:marBottom w:val="0"/>
      <w:divBdr>
        <w:top w:val="none" w:sz="0" w:space="0" w:color="auto"/>
        <w:left w:val="none" w:sz="0" w:space="0" w:color="auto"/>
        <w:bottom w:val="none" w:sz="0" w:space="0" w:color="auto"/>
        <w:right w:val="none" w:sz="0" w:space="0" w:color="auto"/>
      </w:divBdr>
      <w:divsChild>
        <w:div w:id="233586636">
          <w:marLeft w:val="360"/>
          <w:marRight w:val="0"/>
          <w:marTop w:val="200"/>
          <w:marBottom w:val="0"/>
          <w:divBdr>
            <w:top w:val="none" w:sz="0" w:space="0" w:color="auto"/>
            <w:left w:val="none" w:sz="0" w:space="0" w:color="auto"/>
            <w:bottom w:val="none" w:sz="0" w:space="0" w:color="auto"/>
            <w:right w:val="none" w:sz="0" w:space="0" w:color="auto"/>
          </w:divBdr>
        </w:div>
        <w:div w:id="666594468">
          <w:marLeft w:val="1080"/>
          <w:marRight w:val="0"/>
          <w:marTop w:val="100"/>
          <w:marBottom w:val="0"/>
          <w:divBdr>
            <w:top w:val="none" w:sz="0" w:space="0" w:color="auto"/>
            <w:left w:val="none" w:sz="0" w:space="0" w:color="auto"/>
            <w:bottom w:val="none" w:sz="0" w:space="0" w:color="auto"/>
            <w:right w:val="none" w:sz="0" w:space="0" w:color="auto"/>
          </w:divBdr>
        </w:div>
        <w:div w:id="183516966">
          <w:marLeft w:val="1080"/>
          <w:marRight w:val="0"/>
          <w:marTop w:val="100"/>
          <w:marBottom w:val="0"/>
          <w:divBdr>
            <w:top w:val="none" w:sz="0" w:space="0" w:color="auto"/>
            <w:left w:val="none" w:sz="0" w:space="0" w:color="auto"/>
            <w:bottom w:val="none" w:sz="0" w:space="0" w:color="auto"/>
            <w:right w:val="none" w:sz="0" w:space="0" w:color="auto"/>
          </w:divBdr>
        </w:div>
        <w:div w:id="2133204272">
          <w:marLeft w:val="1080"/>
          <w:marRight w:val="0"/>
          <w:marTop w:val="100"/>
          <w:marBottom w:val="0"/>
          <w:divBdr>
            <w:top w:val="none" w:sz="0" w:space="0" w:color="auto"/>
            <w:left w:val="none" w:sz="0" w:space="0" w:color="auto"/>
            <w:bottom w:val="none" w:sz="0" w:space="0" w:color="auto"/>
            <w:right w:val="none" w:sz="0" w:space="0" w:color="auto"/>
          </w:divBdr>
        </w:div>
        <w:div w:id="263073996">
          <w:marLeft w:val="1080"/>
          <w:marRight w:val="0"/>
          <w:marTop w:val="100"/>
          <w:marBottom w:val="0"/>
          <w:divBdr>
            <w:top w:val="none" w:sz="0" w:space="0" w:color="auto"/>
            <w:left w:val="none" w:sz="0" w:space="0" w:color="auto"/>
            <w:bottom w:val="none" w:sz="0" w:space="0" w:color="auto"/>
            <w:right w:val="none" w:sz="0" w:space="0" w:color="auto"/>
          </w:divBdr>
        </w:div>
        <w:div w:id="1410496736">
          <w:marLeft w:val="360"/>
          <w:marRight w:val="0"/>
          <w:marTop w:val="200"/>
          <w:marBottom w:val="0"/>
          <w:divBdr>
            <w:top w:val="none" w:sz="0" w:space="0" w:color="auto"/>
            <w:left w:val="none" w:sz="0" w:space="0" w:color="auto"/>
            <w:bottom w:val="none" w:sz="0" w:space="0" w:color="auto"/>
            <w:right w:val="none" w:sz="0" w:space="0" w:color="auto"/>
          </w:divBdr>
        </w:div>
        <w:div w:id="1793552124">
          <w:marLeft w:val="1080"/>
          <w:marRight w:val="0"/>
          <w:marTop w:val="100"/>
          <w:marBottom w:val="0"/>
          <w:divBdr>
            <w:top w:val="none" w:sz="0" w:space="0" w:color="auto"/>
            <w:left w:val="none" w:sz="0" w:space="0" w:color="auto"/>
            <w:bottom w:val="none" w:sz="0" w:space="0" w:color="auto"/>
            <w:right w:val="none" w:sz="0" w:space="0" w:color="auto"/>
          </w:divBdr>
        </w:div>
        <w:div w:id="1006907364">
          <w:marLeft w:val="1080"/>
          <w:marRight w:val="0"/>
          <w:marTop w:val="100"/>
          <w:marBottom w:val="0"/>
          <w:divBdr>
            <w:top w:val="none" w:sz="0" w:space="0" w:color="auto"/>
            <w:left w:val="none" w:sz="0" w:space="0" w:color="auto"/>
            <w:bottom w:val="none" w:sz="0" w:space="0" w:color="auto"/>
            <w:right w:val="none" w:sz="0" w:space="0" w:color="auto"/>
          </w:divBdr>
        </w:div>
        <w:div w:id="683214990">
          <w:marLeft w:val="360"/>
          <w:marRight w:val="0"/>
          <w:marTop w:val="200"/>
          <w:marBottom w:val="0"/>
          <w:divBdr>
            <w:top w:val="none" w:sz="0" w:space="0" w:color="auto"/>
            <w:left w:val="none" w:sz="0" w:space="0" w:color="auto"/>
            <w:bottom w:val="none" w:sz="0" w:space="0" w:color="auto"/>
            <w:right w:val="none" w:sz="0" w:space="0" w:color="auto"/>
          </w:divBdr>
        </w:div>
      </w:divsChild>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164977477">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C0ECF7-BA02-42B6-BF59-3CC50586E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587</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cp:revision>
  <cp:lastPrinted>2007-06-18T22:08:00Z</cp:lastPrinted>
  <dcterms:created xsi:type="dcterms:W3CDTF">2021-12-14T06:40:00Z</dcterms:created>
  <dcterms:modified xsi:type="dcterms:W3CDTF">2022-01-10T14:19:00Z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(3)Df137/s69WxhcYpJ7D1DwGAai/WhJgPS5jUvc9Y6YXFrUFmIZ8uFEf/BjbeBc58+ZIq+vizJ
7VP0FKNpeGsa76LA4XdKto8qaQoxdIaGyDjw7eOprK4toYu9swNoosU05ZmlWRhufAiy0ss5
HaBwtc1tSrY5iVowoBS6JvZUErF8/NfXzQ1zYABWZSb3DMVpsF8G5sIzPhYIQ2o9A19OQac+
GGi9yG/EoIfkHnX9Mc</vt:lpwstr>
  </property>
  <property fmtid="{D5CDD505-2E9C-101B-9397-08002B2CF9AE}" pid="13" name="_2015_ms_pID_725343_00">
    <vt:lpwstr>_2015_ms_pID_725343</vt:lpwstr>
  </property>
  <property fmtid="{D5CDD505-2E9C-101B-9397-08002B2CF9AE}" pid="14" name="_2015_ms_pID_7253431">
    <vt:lpwstr>H8fzvsLX8zP2wgbgoswX3yQJgoFR0Jz3EhNsaJDnoB6Slyk1PR4XzV
vmTwK9VwRasvSp+LuqbSYB90SLdSL90RMVz0OQ5dVW5hexLZ72rmL6SpRoCkwJL32+737YrH
u8GI0JRN7HZ1f1QgTHACoU8i8+ZLLUh10X9RQyh5Xk0M95Km2CScOl7s6Cpeie1tX421KejI
D6SAkMvkVbZZ9Oj52BJefZo5T83VIdz2VsDR</vt:lpwstr>
  </property>
  <property fmtid="{D5CDD505-2E9C-101B-9397-08002B2CF9AE}" pid="15" name="_2015_ms_pID_7253431_00">
    <vt:lpwstr>_2015_ms_pID_7253431</vt:lpwstr>
  </property>
  <property fmtid="{D5CDD505-2E9C-101B-9397-08002B2CF9AE}" pid="16" name="_2015_ms_pID_7253432">
    <vt:lpwstr>zW2ta5XZxC0e0EmOYoSp/BWfcMa44rsCZXkE
hp29OCVrz5gXfW5RLKzJWhRvSDpQaQ==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